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25c69f9f78b4a1f"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30988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GRADSKA KNJIŽNICA I ČITAONICA VIKTOR CAR EMIN OPATIJA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269.515,91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355.052,48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221.711,34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278.923,08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47.804,57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76.129,40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159,3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40.195,58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45.441,60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40.195,58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45.441,60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7.608,99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30.687,80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403,3</w:t>
            </w:r>
          </w:p>
        </w:tc>
      </w:tr>
    </w:tbl>
    <w:p>
      <w:pPr>
        <w:spacing w:before="0" w:after="0"/>
      </w:pPr>
    </w:p>
    <w:p>
      <w:r>
        <w:t xml:space="preserve">Gradska knjižnica i čitaonica Viktor Car Emin Opatija proračunski je korisnik Grada Opatije, koji je ujedno i osnivač Ustanove. Posluje u sustavu Gradske riznice te obavlja knjižničnu djelatnost na području pet jedinica lokalne samouprave (Grad Opatija, Grad Kastav, Općina Lovran, Općina Mošćenička Draga i Općina Matulji). Navedene jedinice lokalne samouprave financiraju redovnu djelatnost Ustanove, a međusobni odnosi uređeni su ugovorima.</w:t>
      </w:r>
    </w:p>
    <w:p>
      <w:r>
        <w:t xml:space="preserve">U izvještajnom razdoblju od 1. siječnja do 30. lipnja 2026. godine Ustanova je poslovala u skladu s Financijskim planom za 2026. godinu. Ukupni prihodi poslovanja ostvareni su u iznosu od 355.052,48 EUR, ukupni rashodi poslovanja iznose 278.923,08 EUR, dok rashodi za nabavu nefinancijske imovine iznose 45.441,60 EUR. U izvještajnom razdoblju ostvaren je višak prihoda i primitaka u iznosu od 30.687,80 EUR. Nakon pokrića prenesenog manjka prihoda iz prethodnih godina u iznosu od 23.871,13 EUR, višak prihoda raspoloživ u sljedećem razdoblju iznosi 6.816,67 EUR.</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269.515,91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355.052,48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131,7</w:t>
            </w:r>
          </w:p>
        </w:tc>
      </w:tr>
    </w:tbl>
    <w:p>
      <w:pPr>
        <w:spacing w:before="0" w:after="0"/>
      </w:pPr>
    </w:p>
    <w:p>
      <w:r>
        <w:t xml:space="preserve">Ukupni prihodi poslovanja u izvještajnom razdoblju od 1. siječnja do 30. lipnja 2026. godine ostvareni su u iznosu od 355.052,48 EUR, što je za 31,7 % više u odnosu na isto razdoblje prethodne godine. Povećanje prihoda poslovanja najvećim je dijelom rezultat većih prihoda iz nadležnog proračuna za financiranje redovne djelatnosti, većih tekućih i kapitalnih pomoći iz proračuna koji nije nadležan (Ministarstvo kulture i medija Republike Hrvatske) te povećanih prihoda po posebnim propisima. Ostvareni prihodi korišteni su za financiranje redovne djelatnosti Ustanove, nabavu knjižnične građe, provedbu programa i projekata te nabavu dugotrajne imovine u skladu s Financijskim planom za 2026. godinu.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103.638,48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125.569,51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121,2</w:t>
            </w:r>
          </w:p>
        </w:tc>
      </w:tr>
    </w:tbl>
    <w:p>
      <w:pPr>
        <w:spacing w:before="0" w:after="0"/>
      </w:pPr>
    </w:p>
    <w:p>
      <w:r>
        <w:t xml:space="preserve">Tekuće pomoći proračunskim korisnicima iz proračuna koji im nije nadležan ostvarene su u iznosu od 125.569,51 EUR, što je za 21,2 % više u odnosu na isto razdoblje prethodne godine. Prihodi se odnose na sredstva koja jedinice lokalne samouprave (Grad Kastav, Općina Lovran, Općina Matulji i Općina Mošćenička Draga) doznačuju za financiranje redovne djelatnosti Gradske knjižnice i čitaonice Viktor Car Emin Opatija. Povećanje prihoda rezultat je osiguranja većih sredstava za pokriće povećanih troškova poslovanja, osobito rashoda za zaposlene i materijalnih rashoda.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49.662,60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51.087,60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102,9</w:t>
            </w:r>
          </w:p>
        </w:tc>
      </w:tr>
    </w:tbl>
    <w:p>
      <w:pPr>
        <w:spacing w:before="0" w:after="0"/>
      </w:pPr>
    </w:p>
    <w:p>
      <w:r>
        <w:t xml:space="preserve">Kapitalne pomoći proračunskim korisnicima iz proračuna koji im nije nadležan ostvarene su u iznosu od 51.087,60 EUR, što je za 2,9 % više u odnosu na isto razdoblje prethodne godine. Prihodi se najvećim dijelom odnose na sredstva Ministarstva kulture i medija Republike Hrvatske namijenjena nabavi knjižnične građe te ostalim kapitalnim ulaganjima u skladu s odobrenim programima i Financijskim planom Ustanove.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7.189,46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7.808,64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w:t>
            </w:r>
          </w:p>
        </w:tc>
      </w:tr>
    </w:tbl>
    <w:p>
      <w:pPr>
        <w:spacing w:before="0" w:after="0"/>
      </w:pPr>
    </w:p>
    <w:p>
      <w:r>
        <w:t xml:space="preserve">Ostali nespomenuti prihodi ostvareni su u iznosu od 7.808,64 EUR, što je za 8,6 % više u odnosu na isto razdoblje prethodne godine. Prihodi se najvećim dijelom odnose na prihode od članarina korisnika knjižnice. Povećanje prihoda rezultat je većeg broja upisanih članova i obnovljenih članarina u izvještajnom razdoblju.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207,3</w:t>
            </w:r>
          </w:p>
        </w:tc>
      </w:tr>
    </w:tbl>
    <w:p>
      <w:pPr>
        <w:spacing w:before="0" w:after="0"/>
      </w:pPr>
    </w:p>
    <w:p>
      <w:r>
        <w:t xml:space="preserve">Prihodi od pruženih usluga ostvareni su u iznosu od 51,40 EUR te se odnose na prihode od usluga fotokopiranja. U odnosu na isto razdoblje prethodne godine ostvareni su u nešto većem iznosu, što je rezultat većeg korištenja usluga fotokopiranja od strane korisnika knjižnice.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109.000,57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168.134,83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154,3</w:t>
            </w:r>
          </w:p>
        </w:tc>
      </w:tr>
    </w:tbl>
    <w:p>
      <w:pPr>
        <w:spacing w:before="0" w:after="0"/>
      </w:pPr>
    </w:p>
    <w:p>
      <w:r>
        <w:t xml:space="preserve">Prihodi iz nadležnog proračuna za financiranje rashoda poslovanja ostvareni su u iznosu od 168.134,83 EUR, što je za 54,3 % više u odnosu na isto razdoblje prethodne godine. Prihodi se odnose na sredstva Grada Opatije doznačena za financiranje redovne djelatnosti Ustanove. Povećanje prihoda rezultat je osiguranja većih sredstava za pokriće povećanih rashoda za zaposlene, materijalnih rashoda te ostalih troškova redovnog poslovanja u skladu s Financijskim planom za 2026. godinu.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zaposlene (šifre 311+312+313)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177.819,91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221.898,47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124,8</w:t>
            </w:r>
          </w:p>
        </w:tc>
      </w:tr>
    </w:tbl>
    <w:p>
      <w:pPr>
        <w:spacing w:before="0" w:after="0"/>
      </w:pPr>
    </w:p>
    <w:p>
      <w:r>
        <w:t xml:space="preserve">Rashodi za zaposlene ostvareni su u iznosu od 221.898,47 EUR, što je za 24,8 % više u odnosu na isto razdoblje prethodne godine. Povećanje rashoda za zaposlene rezultat je povećanja plaća sukladno važećim propisima i Kolektivnom ugovoru te zapošljavanja nove djelatnice tijekom izvještajnog razdoblja.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4.643,69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9.216,03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198,5</w:t>
            </w:r>
          </w:p>
        </w:tc>
      </w:tr>
    </w:tbl>
    <w:p>
      <w:pPr>
        <w:spacing w:before="0" w:after="0"/>
      </w:pPr>
    </w:p>
    <w:p>
      <w:r>
        <w:t xml:space="preserve">Naknade troškova zaposlenima ostvarene su u iznosu od 9.216,03 EUR, što je za 98,5 % više u odnosu na isto razdoblje prethodne godine. Povećanje se najvećim dijelom odnosi na veće troškove službenih putovanja, naknada za prijevoz na posao i s posla te ostalih naknada zaposlenima uslijed povećanog broja zaposlenih. Na povećanje rashoda utjecali su i troškovi stručnog usavršavanja zaposlenika, budući da su tijekom izvještajnog razdoblja dva djelatnika uključena u programe mikrokvalifikacija koje financira Ustanova.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11.153,48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96,4</w:t>
            </w:r>
          </w:p>
        </w:tc>
      </w:tr>
    </w:tbl>
    <w:p>
      <w:pPr>
        <w:spacing w:before="0" w:after="0"/>
      </w:pPr>
    </w:p>
    <w:p>
      <w:r>
        <w:t xml:space="preserve">Rashodi za materijal i energiju ostvareni su u iznosu od 10.750,00 EUR te su za 3,6 % manji u odnosu na isto razdoblje prethodne godine. Rashodi se odnose na nabavu uredskog materijala, stručne literature, materijala za programe i radionice, energije te ostalih materijalnih rashoda potrebnih za redovno poslovanje Ustanove. Odstupanja u odnosu na prethodnu godinu nisu značajna.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22.815,17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31.649,28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w:t>
            </w:r>
          </w:p>
        </w:tc>
      </w:tr>
    </w:tbl>
    <w:p>
      <w:pPr>
        <w:spacing w:before="0" w:after="0"/>
      </w:pPr>
    </w:p>
    <w:p>
      <w:r>
        <w:t xml:space="preserve">Rashodi za usluge ostvareni su u iznosu od 31.649,28 EUR te su za 38,7 % veći u odnosu na isto razdoblje prethodne godine. Povećanje se najvećim dijelom odnosi na veće rashode za usluge čišćenja, intelektualne i osobne usluge izvođača književnih programa i radionica, zakup fotokopirnog uređaja, usluge održavanja informatičkog sustava i mrežne stranice te ostale usluge potrebne za redovno poslovanje Ustanove. Na povećanje rashoda utjecao je i veći opseg kulturnih programa i aktivnosti tijekom izvještajnog razdoblja, uključujući provedbu programa financiranih sredstvima Ministarstva kulture i medija Republike Hrvatske.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5.279,09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5.409,30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102,5</w:t>
            </w:r>
          </w:p>
        </w:tc>
      </w:tr>
    </w:tbl>
    <w:p>
      <w:pPr>
        <w:spacing w:before="0" w:after="0"/>
      </w:pPr>
    </w:p>
    <w:p>
      <w:r>
        <w:t xml:space="preserve">Ostali nespomenuti rashodi poslovanja ostvareni su u iznosu od 5.409,30 EUR te su za 2,5 % veći u odnosu na isto razdoblje prethodne godine. Rashodi se odnose na premije osiguranja, reprezentaciju, članarine, pristojbe i ostale rashode poslovanja potrebne za redovno funkcioniranje Ustanove. Odstupanja u odnosu na prethodnu godinu nisu značajna.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dan 30. lipnja 2026. godine Gradska knjižnica i čitaonica Viktor Car Emin Opatija nema dospjelih nepodmirenih obveza. Stanje dospjelih obveza na kraju izvještajnog razdoblja (šifra V007) iznosi 0,00 EUR.</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088e208b010a45bb" /></Relationships>
</file>